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Style w:val="a8"/>
        <w:tblW w:w="9853" w:type="dxa"/>
        <w:jc w:val="left"/>
        <w:tblInd w:w="5103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394"/>
        <w:gridCol w:w="5458"/>
      </w:tblGrid>
      <w:tr>
        <w:trPr/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spacing w:before="0" w:after="0"/>
              <w:jc w:val="center"/>
              <w:rPr>
                <w:b/>
                <w:szCs w:val="28"/>
                <w:shd w:fill="FFFFFF" w:val="clear"/>
              </w:rPr>
            </w:pPr>
            <w:r>
              <w:rPr>
                <w:b/>
                <w:szCs w:val="28"/>
                <w:shd w:fill="FFFFFF" w:val="clear"/>
              </w:rPr>
            </w:r>
          </w:p>
        </w:tc>
        <w:tc>
          <w:tcPr>
            <w:tcW w:w="545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overflowPunct w:val="false"/>
              <w:bidi w:val="0"/>
              <w:spacing w:lineRule="auto" w:line="240" w:before="0" w:after="0"/>
              <w:ind w:hanging="0" w:left="454" w:right="113"/>
              <w:jc w:val="both"/>
              <w:textAlignment w:val="baseline"/>
              <w:rPr>
                <w:szCs w:val="22"/>
                <w:lang w:val="ru-RU" w:bidi="ar-SA"/>
              </w:rPr>
            </w:pPr>
            <w:r>
              <w:rPr>
                <w:sz w:val="28"/>
                <w:szCs w:val="28"/>
                <w:lang w:val="ru-RU" w:bidi="ar-SA"/>
              </w:rPr>
              <w:t xml:space="preserve"> </w:t>
            </w:r>
            <w:r>
              <w:rPr>
                <w:sz w:val="28"/>
                <w:szCs w:val="28"/>
                <w:lang w:val="ru-RU" w:bidi="ar-SA"/>
              </w:rPr>
              <w:t>Приложение 5</w:t>
            </w:r>
          </w:p>
          <w:p>
            <w:pPr>
              <w:pStyle w:val="Normal"/>
              <w:widowControl w:val="false"/>
              <w:suppressAutoHyphens w:val="true"/>
              <w:overflowPunct w:val="false"/>
              <w:bidi w:val="0"/>
              <w:spacing w:lineRule="auto" w:line="240" w:before="0" w:after="0"/>
              <w:ind w:hanging="0" w:left="454" w:right="113"/>
              <w:jc w:val="both"/>
              <w:textAlignment w:val="baseline"/>
              <w:rPr>
                <w:szCs w:val="22"/>
                <w:lang w:val="ru-RU" w:bidi="ar-SA"/>
              </w:rPr>
            </w:pPr>
            <w:r>
              <w:rPr>
                <w:sz w:val="28"/>
                <w:szCs w:val="28"/>
                <w:lang w:val="ru-RU" w:bidi="ar-SA"/>
              </w:rPr>
              <w:t xml:space="preserve"> </w:t>
            </w:r>
            <w:r>
              <w:rPr>
                <w:sz w:val="28"/>
                <w:szCs w:val="28"/>
                <w:lang w:val="ru-RU" w:bidi="ar-SA"/>
              </w:rPr>
              <w:t>к</w:t>
            </w:r>
            <w:r>
              <w:rPr>
                <w:szCs w:val="22"/>
                <w:lang w:val="ru-RU" w:bidi="ar-SA"/>
              </w:rPr>
              <w:t xml:space="preserve"> </w:t>
            </w:r>
            <w:r>
              <w:rPr>
                <w:sz w:val="28"/>
                <w:szCs w:val="28"/>
                <w:lang w:val="ru-RU" w:bidi="ar-SA"/>
              </w:rPr>
              <w:t>административному регламенту</w:t>
            </w:r>
          </w:p>
          <w:p>
            <w:pPr>
              <w:pStyle w:val="Normal"/>
              <w:widowControl w:val="false"/>
              <w:suppressAutoHyphens w:val="true"/>
              <w:overflowPunct w:val="false"/>
              <w:bidi w:val="0"/>
              <w:spacing w:lineRule="auto" w:line="240" w:before="0" w:after="0"/>
              <w:ind w:hanging="0" w:left="567" w:right="0"/>
              <w:jc w:val="both"/>
              <w:textAlignment w:val="baseline"/>
              <w:rPr>
                <w:szCs w:val="22"/>
                <w:lang w:val="ru-RU" w:bidi="ar-SA"/>
              </w:rPr>
            </w:pPr>
            <w:r>
              <w:rPr>
                <w:color w:val="000000"/>
                <w:sz w:val="28"/>
                <w:szCs w:val="28"/>
                <w:lang w:val="ru-RU" w:bidi="ar-SA"/>
              </w:rPr>
              <w:t>«Выдача разрешений на ввод объекта</w:t>
              <w:br/>
              <w:t>в эксплуатацию»</w:t>
            </w:r>
          </w:p>
        </w:tc>
      </w:tr>
    </w:tbl>
    <w:p>
      <w:pPr>
        <w:pStyle w:val="Normal"/>
        <w:jc w:val="center"/>
        <w:rPr>
          <w:b/>
          <w:szCs w:val="28"/>
          <w:shd w:fill="FFFFFF" w:val="clear"/>
        </w:rPr>
      </w:pPr>
      <w:r>
        <w:rPr>
          <w:b/>
          <w:szCs w:val="28"/>
          <w:shd w:fill="FFFFFF" w:val="clear"/>
        </w:rPr>
      </w:r>
    </w:p>
    <w:p>
      <w:pPr>
        <w:pStyle w:val="Normal"/>
        <w:jc w:val="center"/>
        <w:rPr>
          <w:b/>
          <w:szCs w:val="28"/>
          <w:shd w:fill="FFFFFF" w:val="clear"/>
        </w:rPr>
      </w:pPr>
      <w:r>
        <w:rPr>
          <w:b/>
          <w:szCs w:val="28"/>
          <w:shd w:fill="FFFFFF" w:val="clear"/>
        </w:rPr>
      </w:r>
    </w:p>
    <w:p>
      <w:pPr>
        <w:pStyle w:val="Style19"/>
        <w:jc w:val="center"/>
        <w:rPr>
          <w:b/>
          <w:szCs w:val="28"/>
          <w:shd w:fill="FFFFFF" w:val="clear"/>
        </w:rPr>
      </w:pPr>
      <w:r>
        <w:rPr>
          <w:b/>
          <w:sz w:val="28"/>
          <w:szCs w:val="28"/>
          <w:shd w:fill="FFFFFF" w:val="clear"/>
        </w:rPr>
        <w:t>ИСЧЕРПЫВАЮЩИЙ ПЕРЕЧЕНЬ</w:t>
      </w:r>
    </w:p>
    <w:p>
      <w:pPr>
        <w:pStyle w:val="Style19"/>
        <w:spacing w:before="0" w:after="0"/>
        <w:contextualSpacing/>
        <w:jc w:val="center"/>
        <w:rPr/>
      </w:pPr>
      <w:r>
        <w:rPr>
          <w:b/>
          <w:sz w:val="28"/>
          <w:szCs w:val="28"/>
          <w:shd w:fill="FFFFFF" w:val="clear"/>
        </w:rPr>
        <w:t>оснований для отказа в приёме запроса о предоставлении муниципальной услуги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</w:p>
    <w:p>
      <w:pPr>
        <w:pStyle w:val="Style19"/>
        <w:spacing w:before="0" w:after="0"/>
        <w:contextualSpacing/>
        <w:rPr/>
      </w:pPr>
      <w:r>
        <w:rPr/>
      </w:r>
    </w:p>
    <w:p>
      <w:pPr>
        <w:pStyle w:val="Style19"/>
        <w:spacing w:before="0" w:after="0"/>
        <w:contextualSpacing/>
        <w:rPr/>
      </w:pPr>
      <w:r>
        <w:rPr/>
      </w:r>
    </w:p>
    <w:tbl>
      <w:tblPr>
        <w:tblW w:w="15147" w:type="dxa"/>
        <w:jc w:val="left"/>
        <w:tblInd w:w="6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568"/>
        <w:gridCol w:w="4"/>
        <w:gridCol w:w="3858"/>
        <w:gridCol w:w="3790"/>
        <w:gridCol w:w="2979"/>
        <w:gridCol w:w="3948"/>
      </w:tblGrid>
      <w:tr>
        <w:trPr>
          <w:trHeight w:val="91" w:hRule="atLeast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9"/>
              <w:spacing w:before="0" w:after="0"/>
              <w:ind w:hanging="0"/>
              <w:contextualSpacing/>
              <w:jc w:val="center"/>
              <w:rPr>
                <w:szCs w:val="24"/>
              </w:rPr>
            </w:pPr>
            <w:r>
              <w:rPr>
                <w:szCs w:val="24"/>
                <w:shd w:fill="FFFFFF" w:val="clear"/>
                <w:lang w:val="ru-RU" w:bidi="ar-SA"/>
              </w:rPr>
              <w:t>№</w:t>
            </w:r>
            <w:r>
              <w:rPr>
                <w:szCs w:val="24"/>
                <w:lang w:val="ru-RU" w:bidi="ar-SA"/>
              </w:rPr>
              <w:br/>
            </w:r>
            <w:r>
              <w:rPr>
                <w:szCs w:val="24"/>
                <w:shd w:fill="FFFFFF" w:val="clear"/>
                <w:lang w:val="ru-RU" w:bidi="ar-SA"/>
              </w:rPr>
              <w:t>п/п</w:t>
            </w:r>
          </w:p>
        </w:tc>
        <w:tc>
          <w:tcPr>
            <w:tcW w:w="3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9"/>
              <w:suppressAutoHyphens w:val="false"/>
              <w:spacing w:before="0" w:after="0"/>
              <w:ind w:hanging="0"/>
              <w:contextualSpacing/>
              <w:jc w:val="center"/>
              <w:rPr>
                <w:szCs w:val="24"/>
              </w:rPr>
            </w:pPr>
            <w:r>
              <w:rPr>
                <w:szCs w:val="24"/>
                <w:shd w:fill="FFFFFF" w:val="clear"/>
                <w:lang w:val="ru-RU" w:bidi="ar-SA"/>
              </w:rPr>
              <w:t xml:space="preserve">Идентификатор категории </w:t>
              <w:br/>
              <w:t>(признака) заявителя</w:t>
            </w:r>
          </w:p>
        </w:tc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9"/>
              <w:spacing w:before="0" w:after="0"/>
              <w:ind w:hanging="0"/>
              <w:contextualSpacing/>
              <w:jc w:val="center"/>
              <w:rPr>
                <w:szCs w:val="24"/>
              </w:rPr>
            </w:pPr>
            <w:r>
              <w:rPr>
                <w:szCs w:val="24"/>
                <w:shd w:fill="FFFFFF" w:val="clear"/>
                <w:lang w:val="ru-RU" w:bidi="ar-SA"/>
              </w:rPr>
              <w:t xml:space="preserve">Перечень оснований для отказа </w:t>
              <w:br/>
              <w:t xml:space="preserve">в приёме запроса </w:t>
              <w:br/>
              <w:t xml:space="preserve">о предоставлении муниципальной услуги </w:t>
              <w:br/>
              <w:t xml:space="preserve">и документов, необходимых </w:t>
              <w:br/>
              <w:t>для предоставления муниципальной услуги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9"/>
              <w:suppressAutoHyphens w:val="false"/>
              <w:spacing w:before="0" w:after="0"/>
              <w:ind w:hanging="0"/>
              <w:contextualSpacing/>
              <w:jc w:val="center"/>
              <w:rPr>
                <w:szCs w:val="24"/>
              </w:rPr>
            </w:pPr>
            <w:r>
              <w:rPr>
                <w:szCs w:val="24"/>
                <w:lang w:val="ru-RU" w:bidi="ar-SA"/>
              </w:rPr>
              <w:t xml:space="preserve">Перечень оснований </w:t>
              <w:br/>
              <w:t xml:space="preserve">для приостановления </w:t>
              <w:br/>
              <w:t xml:space="preserve">предоставления </w:t>
              <w:br/>
              <w:t>муниципальной услуги</w:t>
            </w:r>
          </w:p>
        </w:tc>
        <w:tc>
          <w:tcPr>
            <w:tcW w:w="3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tyle19"/>
              <w:suppressAutoHyphens w:val="false"/>
              <w:spacing w:before="0" w:after="0"/>
              <w:ind w:hanging="0"/>
              <w:contextualSpacing/>
              <w:jc w:val="center"/>
              <w:rPr>
                <w:szCs w:val="24"/>
              </w:rPr>
            </w:pPr>
            <w:r>
              <w:rPr>
                <w:szCs w:val="24"/>
                <w:shd w:fill="FFFFFF" w:val="clear"/>
                <w:lang w:val="ru-RU" w:bidi="ar-SA"/>
              </w:rPr>
              <w:t xml:space="preserve">Перечень оснований для отказа </w:t>
              <w:br/>
              <w:t xml:space="preserve">в предоставлении </w:t>
              <w:br/>
              <w:t>муниципальной услуги</w:t>
            </w:r>
          </w:p>
        </w:tc>
      </w:tr>
      <w:tr>
        <w:trPr>
          <w:trHeight w:val="2791" w:hRule="atLeast"/>
        </w:trPr>
        <w:tc>
          <w:tcPr>
            <w:tcW w:w="5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contextualSpacing/>
              <w:jc w:val="center"/>
              <w:rPr>
                <w:szCs w:val="24"/>
                <w:shd w:fill="FFFFFF" w:val="clear"/>
              </w:rPr>
            </w:pPr>
            <w:r>
              <w:rPr>
                <w:szCs w:val="24"/>
                <w:shd w:fill="FFFFFF" w:val="clear"/>
              </w:rPr>
              <w:t>1.</w:t>
            </w:r>
          </w:p>
        </w:tc>
        <w:tc>
          <w:tcPr>
            <w:tcW w:w="3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false"/>
              <w:spacing w:before="0" w:after="0"/>
              <w:contextualSpacing/>
              <w:jc w:val="both"/>
              <w:rPr>
                <w:szCs w:val="24"/>
              </w:rPr>
            </w:pPr>
            <w:r>
              <w:rPr/>
              <w:t>Физическое или юридическое лицо, обеспечивающее на принадлежащем ему земельном участке или на земельном участке иного правообладателя (которому при осуществлении бюджетных инвестиций в объекты капитального строительства муниципальной собственности органы местного самоуправления передали в случаях, установленных бюджетным законодательством Российской Федерации, на основании соглашений свои полномочия муниципального заказчика) строительство, реконструкцию объектов капитального строительства при подаче заявления о выдаче разрешения на ввод в эксплуатацию</w:t>
            </w:r>
          </w:p>
        </w:tc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1"/>
              <w:shd w:val="clear" w:color="auto" w:fill="FFFFFF"/>
              <w:spacing w:before="0" w:after="0"/>
              <w:contextualSpacing/>
              <w:jc w:val="both"/>
              <w:rPr/>
            </w:pPr>
            <w:r>
              <w:rPr/>
              <w:t>1) представление заявителем документов, оформленных не в соответствии с установленным порядком (наличие исправлений, серьёзных повреждений, не позволяющих однозначно истолковать их содержание, отсутствие обратного адреса, отсутствие подписи, печати (при наличии);</w:t>
            </w:r>
          </w:p>
          <w:p>
            <w:pPr>
              <w:pStyle w:val="s1"/>
              <w:shd w:val="clear" w:color="auto" w:fill="FFFFFF"/>
              <w:spacing w:before="0" w:after="0"/>
              <w:contextualSpacing/>
              <w:jc w:val="both"/>
              <w:rPr/>
            </w:pPr>
            <w:r>
              <w:rPr/>
              <w:t>2) несоблюдение установленных законодательством Российской Федерации условий признания действительности электронной подписи</w:t>
            </w:r>
          </w:p>
          <w:p>
            <w:pPr>
              <w:pStyle w:val="Normal"/>
              <w:spacing w:before="0" w:after="0"/>
              <w:contextualSpacing/>
              <w:rPr>
                <w:szCs w:val="24"/>
              </w:rPr>
            </w:pPr>
            <w:r>
              <w:rPr>
                <w:szCs w:val="24"/>
              </w:rPr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false"/>
              <w:spacing w:before="0" w:after="0"/>
              <w:contextualSpacing/>
              <w:jc w:val="both"/>
              <w:rPr>
                <w:szCs w:val="24"/>
              </w:rPr>
            </w:pPr>
            <w:r>
              <w:rPr>
                <w:szCs w:val="24"/>
                <w:shd w:fill="FFFFFF" w:val="clear"/>
              </w:rPr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3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1"/>
              <w:shd w:val="clear" w:color="auto" w:fill="FFFFFF"/>
              <w:spacing w:before="0" w:after="0"/>
              <w:contextualSpacing/>
              <w:jc w:val="both"/>
              <w:rPr/>
            </w:pPr>
            <w:r>
              <w:rPr/>
              <w:t>1) отсутствие у заявителя (представителя заявителя) права (полномочий) на получение муниципальной услуги;</w:t>
            </w:r>
          </w:p>
          <w:p>
            <w:pPr>
              <w:pStyle w:val="s1"/>
              <w:shd w:val="clear" w:color="auto" w:fill="FFFFFF"/>
              <w:spacing w:before="0" w:after="0"/>
              <w:contextualSpacing/>
              <w:jc w:val="both"/>
              <w:rPr/>
            </w:pPr>
            <w:r>
              <w:rPr/>
              <w:t>2) представление заявления о предоставлении муниципальной услуги с нарушением установленных требований, а также представление документов, содержащих недостоверные сведения;</w:t>
            </w:r>
          </w:p>
          <w:p>
            <w:pPr>
              <w:pStyle w:val="s1"/>
              <w:shd w:val="clear" w:color="auto" w:fill="FFFFFF"/>
              <w:spacing w:before="0" w:after="0"/>
              <w:contextualSpacing/>
              <w:jc w:val="both"/>
              <w:rPr/>
            </w:pPr>
            <w:r>
              <w:rPr/>
              <w:t>3) обращение заявителя об оказании муниципальной услуги, предоставление которой не осуществляется уполномоченным органом;</w:t>
            </w:r>
          </w:p>
          <w:p>
            <w:pPr>
              <w:pStyle w:val="s1"/>
              <w:shd w:val="clear" w:color="auto" w:fill="FFFFFF"/>
              <w:spacing w:before="0" w:after="0"/>
              <w:contextualSpacing/>
              <w:jc w:val="both"/>
              <w:rPr/>
            </w:pPr>
            <w:r>
              <w:rPr/>
              <w:t>4) обращение (в письменном виде) заявителя (представителя заявителя) с просьбой о прекращении предоставления муниципальной услуги;</w:t>
            </w:r>
          </w:p>
          <w:p>
            <w:pPr>
              <w:pStyle w:val="s1"/>
              <w:shd w:val="clear" w:color="auto" w:fill="FFFFFF"/>
              <w:spacing w:before="0" w:after="0"/>
              <w:contextualSpacing/>
              <w:jc w:val="both"/>
              <w:rPr/>
            </w:pPr>
            <w:r>
              <w:rPr/>
              <w:t>5) отсутствие документов, предусмотренных пунктом 1 приложе-ния № 4 к настоящему регламенту, обязанность представления которых возложена на заявителя;</w:t>
            </w:r>
          </w:p>
          <w:p>
            <w:pPr>
              <w:pStyle w:val="s1"/>
              <w:shd w:val="clear" w:color="auto" w:fill="FFFFFF"/>
              <w:spacing w:before="0" w:after="0"/>
              <w:contextualSpacing/>
              <w:jc w:val="both"/>
              <w:rPr/>
            </w:pPr>
            <w:r>
              <w:rPr/>
              <w:t>6) несоответствие объекта капитального строительства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градостроительного плана земельного участка, или в случае строительства, реконструкции, капитального ремонта линейного объекта требованиям проекта планировки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требованиям, установленным проектом планировки территории, в случае выдачи разрешения на ввод в эксплуатацию линейного объекта, для размещения которого не требуется образование земельного участка;</w:t>
            </w:r>
          </w:p>
          <w:p>
            <w:pPr>
              <w:pStyle w:val="s1"/>
              <w:shd w:val="clear" w:color="auto" w:fill="FFFFFF"/>
              <w:spacing w:before="0" w:after="0"/>
              <w:contextualSpacing/>
              <w:jc w:val="both"/>
              <w:rPr/>
            </w:pPr>
            <w:r>
              <w:rPr/>
              <w:t xml:space="preserve">7) несоответствие объекта капитального строительства требованиям, установленным в разрешении на строительство, за исключением случаев изменения площади объекта капитального строительства, протяжённости линейного объекта </w:t>
            </w:r>
            <w:r>
              <w:rPr>
                <w:spacing w:val="-4"/>
              </w:rPr>
              <w:t>в соответствии с частью 6.2 статьи 55</w:t>
            </w:r>
            <w:r>
              <w:rPr/>
              <w:t xml:space="preserve"> Градостроительного кодекса Российской Федерации;</w:t>
            </w:r>
          </w:p>
          <w:p>
            <w:pPr>
              <w:pStyle w:val="s1"/>
              <w:shd w:val="clear" w:color="auto" w:fill="FFFFFF"/>
              <w:spacing w:before="0" w:after="0"/>
              <w:contextualSpacing/>
              <w:jc w:val="both"/>
              <w:rPr/>
            </w:pPr>
            <w:r>
              <w:rPr/>
              <w:t>8) несоответствие параметров построенного, реконструированного объекта капитального строительства проектной документации, за исключением случаев изменения площади объекта капитального строительства, протяжённости линейного объекта в соответствии с частью 6.2 статьи 55 Градостроительного кодекса Российской Федерации;</w:t>
            </w:r>
          </w:p>
          <w:p>
            <w:pPr>
              <w:pStyle w:val="s1"/>
              <w:shd w:val="clear" w:color="auto" w:fill="FFFFFF"/>
              <w:spacing w:before="0" w:after="0"/>
              <w:contextualSpacing/>
              <w:jc w:val="both"/>
              <w:rPr/>
            </w:pPr>
            <w:r>
              <w:rPr/>
              <w:t>9) несоответствие объекта капитального строительства разрешённому использованию земельного участка и (или) ограничениям, установленным в соответствии с земельным и иным законодательством Российской Федерации на дату выдачи разрешения на ввод, за исключением случаев, если указанные ограничения предусмотрены решением об установлении или изменении зоны с особыми условиями использования территории, принятым в случаях, предусмотренных пунктом 9 части 7 статьи 51 Градостроительного кодекса Российской Федерации, и строящийся, реконструируемый объект капитального строительства, в связи с размещением которого установлена или изменена зона с особыми условиями использования территории, не введён в эксплуатацию. Различие данных об указанной в техническом плане площади объекта капитального строительства, не являющегося линейным объектом, не более чем на пять процентов по отношению к данным о площади такого объекта капитального строительства, указанной в проектной документации и (или) разрешении на строительство, не является основанием для отказа в выдаче разрешения на ввод в эксплуатацию при условии соответствия указанных в техническом плане количества этажей, помещений (при наличии) и машино-мест (при наличии) проектной документации и (или) разрешению на строительство. Различие данных об указанной в техническом плане протяжённости линейного объекта не более чем на пять процентов по отношению к данным о его протяжённости, указанным в проектной документации и (или) разрешении на строительство, не является основанием для отказа в выдаче разрешения на ввод объекта в эксплуатацию;</w:t>
            </w:r>
          </w:p>
          <w:p>
            <w:pPr>
              <w:pStyle w:val="s1"/>
              <w:shd w:val="clear" w:color="auto" w:fill="FFFFFF"/>
              <w:spacing w:before="0" w:after="0"/>
              <w:contextualSpacing/>
              <w:jc w:val="both"/>
              <w:rPr>
                <w:color w:val="22272F"/>
                <w:kern w:val="2"/>
                <w:shd w:fill="FFFFFF" w:val="clear"/>
              </w:rPr>
            </w:pPr>
            <w:r>
              <w:rPr>
                <w:color w:val="22272F"/>
                <w:spacing w:val="-6"/>
                <w:kern w:val="2"/>
                <w:shd w:fill="FFFFFF" w:val="clear"/>
              </w:rPr>
              <w:t xml:space="preserve">10) </w:t>
            </w:r>
            <w:r>
              <w:rPr>
                <w:spacing w:val="-6"/>
                <w:kern w:val="2"/>
                <w:shd w:fill="FFFFFF" w:val="clear"/>
              </w:rPr>
              <w:t>невыполнение требований, предусмотренных </w:t>
            </w:r>
            <w:r>
              <w:fldChar w:fldCharType="begin"/>
            </w:r>
            <w:r>
              <w:rPr>
                <w:rStyle w:val="ListLabel1"/>
                <w:spacing w:val="-6"/>
                <w:kern w:val="2"/>
                <w:shd w:fill="FFFFFF" w:val="clear"/>
              </w:rPr>
              <w:instrText xml:space="preserve"> HYPERLINK "https://internet.garant.ru/" \l "/document/12138258/entry/5509"</w:instrText>
            </w:r>
            <w:r>
              <w:rPr>
                <w:rStyle w:val="ListLabel1"/>
                <w:spacing w:val="-6"/>
                <w:kern w:val="2"/>
                <w:shd w:fill="FFFFFF" w:val="clear"/>
              </w:rPr>
              <w:fldChar w:fldCharType="separate"/>
            </w:r>
            <w:r>
              <w:rPr>
                <w:rStyle w:val="ListLabel1"/>
                <w:spacing w:val="-6"/>
                <w:kern w:val="2"/>
                <w:shd w:fill="FFFFFF" w:val="clear"/>
              </w:rPr>
              <w:t>часть 9 статьи 55</w:t>
            </w:r>
            <w:r>
              <w:rPr>
                <w:rStyle w:val="ListLabel1"/>
                <w:spacing w:val="-6"/>
                <w:kern w:val="2"/>
                <w:shd w:fill="FFFFFF" w:val="clear"/>
              </w:rPr>
              <w:fldChar w:fldCharType="end"/>
            </w:r>
            <w:r>
              <w:rPr>
                <w:kern w:val="2"/>
                <w:shd w:fill="FFFFFF" w:val="clear"/>
              </w:rPr>
              <w:t xml:space="preserve"> Градостроительного </w:t>
            </w:r>
            <w:r>
              <w:rPr>
                <w:color w:val="22272F"/>
                <w:kern w:val="2"/>
                <w:shd w:fill="FFFFFF" w:val="clear"/>
              </w:rPr>
              <w:t>кодекса Российской Федерации. В таком случае разрешение на ввод (за исключением линейного объекта) выдаётся заявителю, если в уполномоченный орган передана безвозмездно копия схемы, отображающей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участка, для размещения такой копии в государственной информационной системе обеспечения градостроительной деятельности</w:t>
            </w:r>
          </w:p>
        </w:tc>
      </w:tr>
      <w:tr>
        <w:trPr>
          <w:trHeight w:val="212" w:hRule="atLeast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contextualSpacing/>
              <w:jc w:val="center"/>
              <w:rPr>
                <w:szCs w:val="24"/>
                <w:shd w:fill="FFFFFF" w:val="clear"/>
              </w:rPr>
            </w:pPr>
            <w:r>
              <w:rPr>
                <w:szCs w:val="24"/>
                <w:shd w:fill="FFFFFF" w:val="clear"/>
              </w:rPr>
              <w:t>2.</w:t>
            </w:r>
          </w:p>
        </w:tc>
        <w:tc>
          <w:tcPr>
            <w:tcW w:w="3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false"/>
              <w:spacing w:before="0" w:after="0"/>
              <w:contextualSpacing/>
              <w:jc w:val="both"/>
              <w:rPr>
                <w:szCs w:val="24"/>
              </w:rPr>
            </w:pPr>
            <w:r>
              <w:rPr/>
              <w:t>Физическое или юридическое лицо, обеспечивающее на принадлежащем ему земельном участке или на земельном участке иного правообладателя (которому при осуществлении бюджетных инвестиций в объекты капитального строительства муниципальной собственности органы местного самоуправления передали в случаях, установленных бюджетным законодательством Российской Федерации, на основании соглашений свои полномочия муниципального заказчика) строительство, реконструкцию объектов капитального строительства при подаче заявления о внесении изменений в разрешение на ввод в эксплуатацию</w:t>
            </w:r>
          </w:p>
        </w:tc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1"/>
              <w:shd w:val="clear" w:color="auto" w:fill="FFFFFF"/>
              <w:spacing w:before="0" w:after="0"/>
              <w:contextualSpacing/>
              <w:jc w:val="both"/>
              <w:rPr/>
            </w:pPr>
            <w:r>
              <w:rPr/>
              <w:t>1. Представление заявителем документов, оформленных не в соответствии с установленным порядком (наличие исправлений, серьёзных повреждений, не позволяющих однозначно истолковать их содержание, отсутствие обратного адреса, отсутствие подписи, печати (при наличии).</w:t>
            </w:r>
          </w:p>
          <w:p>
            <w:pPr>
              <w:pStyle w:val="s1"/>
              <w:shd w:val="clear" w:color="auto" w:fill="FFFFFF"/>
              <w:spacing w:before="0" w:after="0"/>
              <w:contextualSpacing/>
              <w:jc w:val="both"/>
              <w:rPr/>
            </w:pPr>
            <w:r>
              <w:rPr/>
              <w:t>2. Несоблюдение установленных законодательством Российской Федерации условий признания действительности электронной цифровой подписи</w:t>
            </w:r>
          </w:p>
          <w:p>
            <w:pPr>
              <w:pStyle w:val="Normal"/>
              <w:spacing w:before="0" w:after="0"/>
              <w:contextualSpacing/>
              <w:rPr>
                <w:szCs w:val="24"/>
              </w:rPr>
            </w:pPr>
            <w:r>
              <w:rPr>
                <w:szCs w:val="24"/>
              </w:rPr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false"/>
              <w:spacing w:before="0" w:after="0"/>
              <w:contextualSpacing/>
              <w:jc w:val="both"/>
              <w:rPr>
                <w:szCs w:val="24"/>
              </w:rPr>
            </w:pPr>
            <w:r>
              <w:rPr>
                <w:szCs w:val="24"/>
                <w:shd w:fill="FFFFFF" w:val="clear"/>
              </w:rPr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3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1"/>
              <w:shd w:val="clear" w:color="auto" w:fill="FFFFFF"/>
              <w:spacing w:before="0" w:after="0"/>
              <w:contextualSpacing/>
              <w:jc w:val="both"/>
              <w:rPr/>
            </w:pPr>
            <w:r>
              <w:rPr/>
              <w:t>1) отсутствие у заявителя (представителя заявителя) права (полномочий) на получение муниципальной услуги;</w:t>
            </w:r>
          </w:p>
          <w:p>
            <w:pPr>
              <w:pStyle w:val="s1"/>
              <w:shd w:val="clear" w:color="auto" w:fill="FFFFFF"/>
              <w:spacing w:before="0" w:after="0"/>
              <w:contextualSpacing/>
              <w:jc w:val="both"/>
              <w:rPr/>
            </w:pPr>
            <w:r>
              <w:rPr/>
              <w:t>2) представление заявления о предоставлении муниципальной услуги с нарушением установленных требований, а также представление документов, содержащих недостоверные сведения;</w:t>
            </w:r>
          </w:p>
          <w:p>
            <w:pPr>
              <w:pStyle w:val="s1"/>
              <w:shd w:val="clear" w:color="auto" w:fill="FFFFFF"/>
              <w:spacing w:before="0" w:after="0"/>
              <w:contextualSpacing/>
              <w:jc w:val="both"/>
              <w:rPr/>
            </w:pPr>
            <w:r>
              <w:rPr/>
              <w:t>3) обращение заявителя об оказании муниципальной услуги, предоставление которой не осуществляется уполномоченным органом;</w:t>
            </w:r>
          </w:p>
          <w:p>
            <w:pPr>
              <w:pStyle w:val="s1"/>
              <w:shd w:val="clear" w:color="auto" w:fill="FFFFFF"/>
              <w:spacing w:before="0" w:after="0"/>
              <w:contextualSpacing/>
              <w:jc w:val="both"/>
              <w:rPr/>
            </w:pPr>
            <w:r>
              <w:rPr/>
              <w:t>4) обращение (в письменном виде) заявителя (представителя заявителя) с просьбой о прекращении предоставления муниципальной услуги;</w:t>
            </w:r>
          </w:p>
          <w:p>
            <w:pPr>
              <w:pStyle w:val="s1"/>
              <w:shd w:val="clear" w:color="auto" w:fill="FFFFFF"/>
              <w:spacing w:before="0" w:after="0"/>
              <w:contextualSpacing/>
              <w:jc w:val="both"/>
              <w:rPr/>
            </w:pPr>
            <w:r>
              <w:rPr/>
              <w:t>5) отсутствие документов, предусмотренных пунктом 2 приложе-ния № 4 к настоящему регламенту, обязанность представления которых возложена на заявителя;</w:t>
            </w:r>
          </w:p>
          <w:p>
            <w:pPr>
              <w:pStyle w:val="s1"/>
              <w:shd w:val="clear" w:color="auto" w:fill="FFFFFF"/>
              <w:spacing w:before="0" w:after="0"/>
              <w:contextualSpacing/>
              <w:jc w:val="both"/>
              <w:rPr/>
            </w:pPr>
            <w:r>
              <w:rPr/>
              <w:t>6) несоответствие объекта капитального строительства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градостроительного плана земельного участка, или в случае строительства, реконструкции, капитального ремонта линейного объекта требованиям проекта планировки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требованиям, установленным проектом планировки территории, в случае выдачи разрешения на ввод в эксплуатацию линейного объекта, для размещения которого не требуется образование земельного участка;</w:t>
            </w:r>
          </w:p>
          <w:p>
            <w:pPr>
              <w:pStyle w:val="s1"/>
              <w:shd w:val="clear" w:color="auto" w:fill="FFFFFF"/>
              <w:spacing w:before="0" w:after="0"/>
              <w:contextualSpacing/>
              <w:jc w:val="both"/>
              <w:rPr/>
            </w:pPr>
            <w:r>
              <w:rPr/>
              <w:t xml:space="preserve">7) несоответствие объекта капитального строительства требованиям, установленным в разрешении на строительство, за исключением случаев изменения площади объекта капитального строительства, протяжённости линейного объекта </w:t>
            </w:r>
            <w:r>
              <w:rPr>
                <w:spacing w:val="-4"/>
              </w:rPr>
              <w:t>в соответствии с частью 6.2 статьи 55</w:t>
            </w:r>
            <w:r>
              <w:rPr/>
              <w:t xml:space="preserve"> Градостроительного кодекса Российской Федерации;</w:t>
            </w:r>
          </w:p>
          <w:p>
            <w:pPr>
              <w:pStyle w:val="s1"/>
              <w:shd w:val="clear" w:color="auto" w:fill="FFFFFF"/>
              <w:spacing w:before="0" w:after="0"/>
              <w:contextualSpacing/>
              <w:jc w:val="both"/>
              <w:rPr/>
            </w:pPr>
            <w:r>
              <w:rPr/>
              <w:t>8) несоответствие параметров построенного, реконструированного объекта капитального строительства проектной документации, за исключением случаев изменения площади объекта капитального строительства, протяжённости линейного объекта в соответствии с частью 6.2 статьи 55 Градостроительного кодекса Российской Федерации;</w:t>
            </w:r>
          </w:p>
          <w:p>
            <w:pPr>
              <w:pStyle w:val="s1"/>
              <w:shd w:val="clear" w:color="auto" w:fill="FFFFFF"/>
              <w:spacing w:before="0" w:after="0"/>
              <w:contextualSpacing/>
              <w:jc w:val="both"/>
              <w:rPr/>
            </w:pPr>
            <w:r>
              <w:rPr/>
              <w:t>9) несоответствие объекта капитального строительства разрешённому использованию земельного участка и (или) ограничениям, установленным в соответствии с земельным и иным законодательством Российской Федерации на дату выдачи разрешения на ввод, за исключением случаев, если указанные ограничения предусмотрены решением об установлении или изменении зоны с особыми условиями использования территории, принятым в случаях, предусмотренных пунктом 9 части 7 статьи 51 Градостроительного кодекса Российской Федерации, и строящийся, реконструируемый объект капитального строительства, в связи с размещением которого установлена или изменена зона с особыми условиями использования территории, не введён в эксплуатацию.</w:t>
            </w:r>
          </w:p>
          <w:p>
            <w:pPr>
              <w:pStyle w:val="s1"/>
              <w:shd w:val="clear" w:color="auto" w:fill="FFFFFF"/>
              <w:spacing w:before="0" w:after="0"/>
              <w:contextualSpacing/>
              <w:jc w:val="both"/>
              <w:rPr/>
            </w:pPr>
            <w:r>
              <w:rPr/>
              <w:t>Различие данных об указанной в техническом плане площади объекта капитального строительства, не являющегося линейным объектом, не более чем на пять процентов по отношению к данным о площади такого объекта капитального строительства, указанной в проектной документации и (или) разрешении на строительство, не является основанием для отказа в выдаче разрешения на ввод в эксплуатацию при условии соответствия указанных в техническом плане количества этажей, помещений (при наличии) и машино-мест (при наличии) проектной документации и (или) разрешению на строительство. Различие данных об указанной в техническом плане протяжённости линейного объекта не более чем на пять процентов по отношению к данным о его протяжённости, указанным в проектной документации и (или) разрешении на строительство, не является основанием для отказа в выдаче разрешения на ввод объекта в эксплуатацию;</w:t>
            </w:r>
          </w:p>
          <w:p>
            <w:pPr>
              <w:pStyle w:val="s1"/>
              <w:shd w:val="clear" w:color="auto" w:fill="FFFFFF"/>
              <w:spacing w:before="0" w:after="0"/>
              <w:contextualSpacing/>
              <w:jc w:val="both"/>
              <w:rPr/>
            </w:pPr>
            <w:r>
              <w:rPr/>
              <w:t>10)</w:t>
            </w:r>
            <w:r>
              <w:rPr>
                <w:spacing w:val="-4"/>
              </w:rPr>
              <w:t xml:space="preserve"> невыполнение требований, предусмотренных частью 9 статьи 55 </w:t>
            </w:r>
            <w:r>
              <w:rPr/>
              <w:t>Градостроительного кодекса Российской Федерации. В таком случае разрешение на ввод (за исключением линейного объекта) выдаётся заявителю, если в уполномоченный орган передана безвозмездно копия схемы, отображающей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участка, для размещения такой копии в государственной информационной системе обеспечения градостроительной деятельности</w:t>
            </w:r>
          </w:p>
        </w:tc>
      </w:tr>
      <w:tr>
        <w:trPr>
          <w:trHeight w:val="552" w:hRule="atLeast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contextualSpacing/>
              <w:jc w:val="center"/>
              <w:rPr>
                <w:szCs w:val="24"/>
                <w:shd w:fill="FFFFFF" w:val="clear"/>
              </w:rPr>
            </w:pPr>
            <w:r>
              <w:rPr>
                <w:szCs w:val="24"/>
                <w:shd w:fill="FFFFFF" w:val="clear"/>
              </w:rPr>
              <w:t>3.</w:t>
            </w:r>
          </w:p>
        </w:tc>
        <w:tc>
          <w:tcPr>
            <w:tcW w:w="3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false"/>
              <w:spacing w:before="0" w:after="0"/>
              <w:contextualSpacing/>
              <w:jc w:val="both"/>
              <w:rPr>
                <w:szCs w:val="24"/>
              </w:rPr>
            </w:pPr>
            <w:r>
              <w:rPr>
                <w:szCs w:val="24"/>
              </w:rPr>
              <w:t>Заявители, ранее обратившиеся за получением муниципальной услуги, по результатам предоставления которой выданы документы с допущенными опечатками и ошибками</w:t>
            </w:r>
          </w:p>
        </w:tc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1"/>
              <w:shd w:val="clear" w:color="auto" w:fill="FFFFFF"/>
              <w:spacing w:before="0" w:after="0"/>
              <w:contextualSpacing/>
              <w:jc w:val="both"/>
              <w:rPr/>
            </w:pPr>
            <w:r>
              <w:rPr/>
              <w:t>1. Представление заявителем документов, оформленных не в соответствии с установленным порядком (наличие исправлений, серьёзных повреждений, не позволяющих однозначно истолковать их содержание, отсутствие обратного адреса, отсутствие подписи, печати (при наличии).</w:t>
            </w:r>
          </w:p>
          <w:p>
            <w:pPr>
              <w:pStyle w:val="s1"/>
              <w:shd w:val="clear" w:color="auto" w:fill="FFFFFF"/>
              <w:spacing w:before="0" w:after="0"/>
              <w:contextualSpacing/>
              <w:jc w:val="both"/>
              <w:rPr/>
            </w:pPr>
            <w:r>
              <w:rPr/>
              <w:t>2. Несоблюдение установленных законодательством Российской Федерации условий признания действительности электронной подписи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false"/>
              <w:spacing w:before="0" w:after="0"/>
              <w:contextualSpacing/>
              <w:jc w:val="both"/>
              <w:rPr>
                <w:szCs w:val="24"/>
              </w:rPr>
            </w:pPr>
            <w:r>
              <w:rPr>
                <w:szCs w:val="24"/>
                <w:shd w:fill="FFFFFF" w:val="clear"/>
              </w:rPr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3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1"/>
              <w:shd w:val="clear" w:color="auto" w:fill="FFFFFF"/>
              <w:spacing w:before="0" w:after="0"/>
              <w:contextualSpacing/>
              <w:jc w:val="both"/>
              <w:rPr/>
            </w:pPr>
            <w:r>
              <w:rPr/>
              <w:t>1) отсутствие у заявителя (представителя заявителя) права (полномочия) на получение муниципальной услуги;</w:t>
            </w:r>
          </w:p>
          <w:p>
            <w:pPr>
              <w:pStyle w:val="s1"/>
              <w:shd w:val="clear" w:color="auto" w:fill="FFFFFF"/>
              <w:spacing w:before="0" w:after="0"/>
              <w:contextualSpacing/>
              <w:jc w:val="both"/>
              <w:rPr/>
            </w:pPr>
            <w:r>
              <w:rPr/>
              <w:t>2) предоставление документов в ненадлежащий орган;</w:t>
            </w:r>
          </w:p>
          <w:p>
            <w:pPr>
              <w:pStyle w:val="s1"/>
              <w:shd w:val="clear" w:color="auto" w:fill="FFFFFF"/>
              <w:spacing w:before="0" w:after="0"/>
              <w:contextualSpacing/>
              <w:jc w:val="both"/>
              <w:rPr/>
            </w:pPr>
            <w:r>
              <w:rPr/>
              <w:t>3) обращение (в письменном виде) заявителя с просьбой о прекращении предоставления муниципальной услуги;</w:t>
            </w:r>
          </w:p>
          <w:p>
            <w:pPr>
              <w:pStyle w:val="s1"/>
              <w:shd w:val="clear" w:color="auto" w:fill="FFFFFF"/>
              <w:spacing w:before="0" w:after="0"/>
              <w:contextualSpacing/>
              <w:jc w:val="both"/>
              <w:rPr/>
            </w:pPr>
            <w:r>
              <w:rPr/>
              <w:t>4) отсутствие допущенных опечаток и ошибок в выданных в результате предоставления муниципальной услуги документах</w:t>
            </w:r>
          </w:p>
        </w:tc>
      </w:tr>
      <w:tr>
        <w:trPr>
          <w:trHeight w:val="1285" w:hRule="atLeast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contextualSpacing/>
              <w:jc w:val="center"/>
              <w:rPr>
                <w:szCs w:val="24"/>
                <w:shd w:fill="FFFFFF" w:val="clear"/>
              </w:rPr>
            </w:pPr>
            <w:r>
              <w:rPr>
                <w:szCs w:val="24"/>
                <w:shd w:fill="FFFFFF" w:val="clear"/>
              </w:rPr>
              <w:t>4.</w:t>
            </w:r>
          </w:p>
        </w:tc>
        <w:tc>
          <w:tcPr>
            <w:tcW w:w="3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false"/>
              <w:spacing w:before="0" w:after="0"/>
              <w:contextualSpacing/>
              <w:jc w:val="both"/>
              <w:rPr>
                <w:szCs w:val="24"/>
              </w:rPr>
            </w:pPr>
            <w:r>
              <w:rPr>
                <w:szCs w:val="24"/>
              </w:rPr>
              <w:t>Заявители, ранее обратившиеся за получением муниципальной услуги, за выдачей дубликата документа, выданного по результату её предоставления</w:t>
            </w:r>
          </w:p>
        </w:tc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1"/>
              <w:shd w:val="clear" w:color="auto" w:fill="FFFFFF"/>
              <w:spacing w:before="0" w:after="0"/>
              <w:contextualSpacing/>
              <w:jc w:val="both"/>
              <w:rPr/>
            </w:pPr>
            <w:r>
              <w:rPr/>
              <w:t>1. Представление заявителем документов, оформленных не в соответствии с установленным порядком (наличие исправлений, серьёзных повреждений, не позволяющих однозначно истолковать их содержание, отсутствие обратного адреса, отсутствие подписи, печати (при наличии).</w:t>
            </w:r>
          </w:p>
          <w:p>
            <w:pPr>
              <w:pStyle w:val="s1"/>
              <w:shd w:val="clear" w:color="auto" w:fill="FFFFFF"/>
              <w:spacing w:before="0" w:after="0"/>
              <w:contextualSpacing/>
              <w:jc w:val="both"/>
              <w:rPr/>
            </w:pPr>
            <w:r>
              <w:rPr/>
              <w:t>2. Несоблюдение установленных законодательством Российской Федерации условий признания действительности электронной подписи</w:t>
            </w:r>
          </w:p>
          <w:p>
            <w:pPr>
              <w:pStyle w:val="s1"/>
              <w:shd w:val="clear" w:color="auto" w:fill="FFFFFF"/>
              <w:spacing w:before="0" w:after="0"/>
              <w:contextualSpacing/>
              <w:jc w:val="both"/>
              <w:rPr/>
            </w:pPr>
            <w:r>
              <w:rPr/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false"/>
              <w:spacing w:before="0" w:after="0"/>
              <w:contextualSpacing/>
              <w:jc w:val="both"/>
              <w:rPr>
                <w:szCs w:val="24"/>
              </w:rPr>
            </w:pPr>
            <w:r>
              <w:rPr>
                <w:szCs w:val="24"/>
                <w:shd w:fill="FFFFFF" w:val="clear"/>
              </w:rPr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3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1"/>
              <w:shd w:val="clear" w:color="auto" w:fill="FFFFFF"/>
              <w:spacing w:before="0" w:after="0"/>
              <w:contextualSpacing/>
              <w:jc w:val="both"/>
              <w:rPr/>
            </w:pPr>
            <w:r>
              <w:rPr/>
              <w:t>1) отсутствие у заявителя (представителя заявителя) права (полномочия) на получение муниципальной услуги;</w:t>
            </w:r>
          </w:p>
          <w:p>
            <w:pPr>
              <w:pStyle w:val="s1"/>
              <w:shd w:val="clear" w:color="auto" w:fill="FFFFFF"/>
              <w:spacing w:before="0" w:after="0"/>
              <w:contextualSpacing/>
              <w:jc w:val="both"/>
              <w:rPr/>
            </w:pPr>
            <w:r>
              <w:rPr/>
              <w:t>2) представление документов в ненадлежащий орган;</w:t>
            </w:r>
          </w:p>
          <w:p>
            <w:pPr>
              <w:pStyle w:val="s1"/>
              <w:shd w:val="clear" w:color="auto" w:fill="FFFFFF"/>
              <w:spacing w:before="0" w:after="0"/>
              <w:contextualSpacing/>
              <w:jc w:val="both"/>
              <w:rPr/>
            </w:pPr>
            <w:r>
              <w:rPr/>
              <w:t>3) обращение (в письменном виде) заявителя с просьбой о прекращении предоставления муниципальной услуги;</w:t>
            </w:r>
          </w:p>
          <w:p>
            <w:pPr>
              <w:pStyle w:val="s1"/>
              <w:shd w:val="clear" w:color="auto" w:fill="FFFFFF"/>
              <w:spacing w:before="0" w:after="0"/>
              <w:contextualSpacing/>
              <w:jc w:val="both"/>
              <w:rPr/>
            </w:pPr>
            <w:r>
              <w:rPr/>
              <w:t>4) отсутствие факта обращения заявителя за получением муниципальной услуги, по результатам которой выдан соответствующий документ</w:t>
            </w:r>
          </w:p>
        </w:tc>
      </w:tr>
      <w:tr>
        <w:trPr>
          <w:trHeight w:val="3921" w:hRule="atLeast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pacing w:before="0" w:after="0"/>
              <w:contextualSpacing/>
              <w:jc w:val="center"/>
              <w:rPr>
                <w:szCs w:val="24"/>
                <w:shd w:fill="FFFFFF" w:val="clear"/>
              </w:rPr>
            </w:pPr>
            <w:r>
              <w:rPr>
                <w:szCs w:val="24"/>
                <w:shd w:fill="FFFFFF" w:val="clear"/>
              </w:rPr>
              <w:t>5.</w:t>
            </w:r>
          </w:p>
        </w:tc>
        <w:tc>
          <w:tcPr>
            <w:tcW w:w="3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false"/>
              <w:spacing w:before="0" w:after="0"/>
              <w:contextualSpacing/>
              <w:jc w:val="both"/>
              <w:rPr>
                <w:szCs w:val="24"/>
              </w:rPr>
            </w:pPr>
            <w:r>
              <w:rPr>
                <w:szCs w:val="24"/>
              </w:rPr>
              <w:t>От имени заявителя могут действовать его представители, наделённые соответствующими полномочиями в порядке, установленном законодательством Российской Федерации</w:t>
            </w:r>
          </w:p>
          <w:p>
            <w:pPr>
              <w:pStyle w:val="Normal"/>
              <w:suppressAutoHyphens w:val="false"/>
              <w:spacing w:before="0" w:after="0"/>
              <w:contextualSpacing/>
              <w:rPr>
                <w:szCs w:val="24"/>
              </w:rPr>
            </w:pPr>
            <w:r>
              <w:rPr>
                <w:szCs w:val="24"/>
              </w:rPr>
            </w:r>
          </w:p>
          <w:p>
            <w:pPr>
              <w:pStyle w:val="Normal"/>
              <w:tabs>
                <w:tab w:val="clear" w:pos="708"/>
                <w:tab w:val="left" w:pos="2205" w:leader="none"/>
              </w:tabs>
              <w:suppressAutoHyphens w:val="false"/>
              <w:spacing w:before="0" w:after="0"/>
              <w:contextualSpacing/>
              <w:rPr>
                <w:szCs w:val="24"/>
              </w:rPr>
            </w:pPr>
            <w:r>
              <w:rPr>
                <w:szCs w:val="24"/>
              </w:rPr>
            </w:r>
          </w:p>
        </w:tc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s1"/>
              <w:shd w:val="clear" w:color="auto" w:fill="FFFFFF"/>
              <w:spacing w:before="0" w:after="0"/>
              <w:contextualSpacing/>
              <w:jc w:val="both"/>
              <w:rPr/>
            </w:pPr>
            <w:r>
              <w:rPr/>
              <w:t>1. Представление заявителем документов, оформленных не в соответствии с установленным порядком (наличие исправлений, серьёзных повреждений, не позволяющих однозначно истолковать их содержание, отсутствие обратного адреса, отсутствие подписи, печати (при наличии).</w:t>
            </w:r>
          </w:p>
          <w:p>
            <w:pPr>
              <w:pStyle w:val="s1"/>
              <w:shd w:val="clear" w:color="auto" w:fill="FFFFFF"/>
              <w:spacing w:before="0" w:after="0"/>
              <w:contextualSpacing/>
              <w:jc w:val="both"/>
              <w:rPr/>
            </w:pPr>
            <w:r>
              <w:rPr/>
              <w:t>2. Несоблюдение установленных законодательством Российской Федерации условий признания действительности электронной подписи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false"/>
              <w:spacing w:before="0" w:after="0"/>
              <w:contextualSpacing/>
              <w:jc w:val="both"/>
              <w:rPr>
                <w:szCs w:val="24"/>
              </w:rPr>
            </w:pPr>
            <w:r>
              <w:rPr>
                <w:szCs w:val="24"/>
                <w:shd w:fill="FFFFFF" w:val="clear"/>
              </w:rPr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3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suppressAutoHyphens w:val="false"/>
              <w:spacing w:before="0" w:after="0"/>
              <w:contextualSpacing/>
              <w:jc w:val="both"/>
              <w:rPr>
                <w:szCs w:val="24"/>
              </w:rPr>
            </w:pPr>
            <w:r>
              <w:rPr>
                <w:szCs w:val="24"/>
                <w:shd w:fill="FFFFFF" w:val="clear"/>
              </w:rPr>
              <w:t>Перечень оснований для отказа в предоставлении муниципальной услуги используется в зависимости от идентификаторов категорий (признаков) заявителей, чьи интересы представляет уполномоченное лицо</w:t>
            </w:r>
          </w:p>
        </w:tc>
      </w:tr>
    </w:tbl>
    <w:p>
      <w:pPr>
        <w:pStyle w:val="Style19"/>
        <w:spacing w:before="0" w:after="0"/>
        <w:ind w:hanging="0"/>
        <w:contextualSpacing/>
        <w:rPr>
          <w:sz w:val="28"/>
          <w:szCs w:val="28"/>
          <w:shd w:fill="FFFFFF" w:val="clear"/>
        </w:rPr>
      </w:pPr>
      <w:r>
        <w:rPr>
          <w:sz w:val="28"/>
          <w:szCs w:val="28"/>
          <w:shd w:fill="FFFFFF" w:val="clear"/>
        </w:rPr>
      </w:r>
    </w:p>
    <w:p>
      <w:pPr>
        <w:pStyle w:val="Style19"/>
        <w:spacing w:before="0" w:after="0"/>
        <w:ind w:hanging="0"/>
        <w:contextualSpacing/>
        <w:rPr>
          <w:sz w:val="28"/>
          <w:szCs w:val="28"/>
          <w:shd w:fill="FFFFFF" w:val="clear"/>
        </w:rPr>
      </w:pPr>
      <w:r>
        <w:rPr>
          <w:sz w:val="28"/>
          <w:szCs w:val="28"/>
          <w:shd w:fill="FFFFFF" w:val="clear"/>
        </w:rPr>
      </w:r>
    </w:p>
    <w:p>
      <w:pPr>
        <w:pStyle w:val="Style19"/>
        <w:spacing w:before="0" w:after="0"/>
        <w:ind w:hanging="0"/>
        <w:contextualSpacing/>
        <w:rPr>
          <w:sz w:val="28"/>
          <w:szCs w:val="28"/>
          <w:shd w:fill="FFFFFF" w:val="clear"/>
        </w:rPr>
      </w:pPr>
      <w:r>
        <w:rPr>
          <w:sz w:val="28"/>
          <w:szCs w:val="28"/>
          <w:shd w:fill="FFFFFF" w:val="clear"/>
        </w:rPr>
        <w:t>Начальник управления архитектуры</w:t>
      </w:r>
    </w:p>
    <w:p>
      <w:pPr>
        <w:pStyle w:val="Style19"/>
        <w:spacing w:before="0" w:after="0"/>
        <w:ind w:hanging="0"/>
        <w:contextualSpacing/>
        <w:rPr>
          <w:sz w:val="28"/>
          <w:szCs w:val="28"/>
          <w:shd w:fill="FFFFFF" w:val="clear"/>
        </w:rPr>
      </w:pPr>
      <w:r>
        <w:rPr>
          <w:sz w:val="28"/>
          <w:szCs w:val="28"/>
          <w:shd w:fill="FFFFFF" w:val="clear"/>
        </w:rPr>
        <w:t>и градостроительства администрации</w:t>
      </w:r>
    </w:p>
    <w:p>
      <w:pPr>
        <w:pStyle w:val="Style19"/>
        <w:spacing w:before="0" w:after="0"/>
        <w:ind w:hanging="0"/>
        <w:contextualSpacing/>
        <w:rPr>
          <w:sz w:val="28"/>
          <w:szCs w:val="28"/>
          <w:shd w:fill="FFFFFF" w:val="clear"/>
        </w:rPr>
      </w:pPr>
      <w:r>
        <w:rPr>
          <w:sz w:val="28"/>
          <w:szCs w:val="28"/>
          <w:shd w:fill="FFFFFF" w:val="clear"/>
        </w:rPr>
        <w:t>муниципального образования Ейский район                                                                                                             Е.Г. Медведева</w:t>
      </w:r>
    </w:p>
    <w:sectPr>
      <w:headerReference w:type="even" r:id="rId2"/>
      <w:headerReference w:type="default" r:id="rId3"/>
      <w:headerReference w:type="first" r:id="rId4"/>
      <w:type w:val="nextPage"/>
      <w:pgSz w:orient="landscape" w:w="16838" w:h="11906"/>
      <w:pgMar w:left="964" w:right="1134" w:gutter="0" w:header="709" w:top="1701" w:footer="0" w:bottom="851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-1583682872"/>
    </w:sdtPr>
    <w:sdtContent>
      <w:p>
        <w:pPr>
          <w:pStyle w:val="Header"/>
          <w:jc w:val="center"/>
          <w:rPr>
            <w:sz w:val="28"/>
            <w:szCs w:val="28"/>
          </w:rPr>
        </w:pP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 xml:space="preserve"> PAGE </w:instrText>
        </w:r>
        <w:r>
          <w:rPr>
            <w:sz w:val="28"/>
            <w:szCs w:val="28"/>
          </w:rPr>
          <w:fldChar w:fldCharType="separate"/>
        </w:r>
        <w:r>
          <w:rPr>
            <w:sz w:val="28"/>
            <w:szCs w:val="28"/>
          </w:rPr>
          <w:t>11</w:t>
        </w:r>
        <w:r>
          <w:rPr>
            <w:sz w:val="28"/>
            <w:szCs w:val="28"/>
          </w:rPr>
          <w:fldChar w:fldCharType="end"/>
        </w:r>
      </w:p>
    </w:sdtContent>
  </w:sdt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95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Hyperlink" w:uiPriority="0"/>
    <w:lsdException w:name="Strong" w:uiPriority="22" w:semiHidden="0" w:unhideWhenUsed="0" w:qFormat="1"/>
    <w:lsdException w:name="Emphasis" w:uiPriority="20" w:semiHidden="0" w:unhideWhenUsed="0" w:qFormat="1"/>
    <w:lsdException w:name="Table Grid" w:uiPriority="59"/>
    <w:lsdException w:name="Placeholder Text" w:unhideWhenUsed="0"/>
    <w:lsdException w:name="No Spacing" w:uiPriority="0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c347c2"/>
    <w:pPr>
      <w:widowControl w:val="false"/>
      <w:suppressAutoHyphens w:val="true"/>
      <w:overflowPunct w:val="false"/>
      <w:bidi w:val="0"/>
      <w:spacing w:lineRule="auto" w:line="240"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2"/>
      <w:sz w:val="24"/>
      <w:szCs w:val="22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InternetLink">
    <w:name w:val="Internet Link"/>
    <w:basedOn w:val="DefaultParagraphFont"/>
    <w:qFormat/>
    <w:rsid w:val="001e3d60"/>
    <w:rPr>
      <w:color w:val="0000FF"/>
      <w:u w:val="single"/>
    </w:rPr>
  </w:style>
  <w:style w:type="character" w:styleId="Style14" w:customStyle="1">
    <w:name w:val="Текст выноски Знак"/>
    <w:basedOn w:val="DefaultParagraphFont"/>
    <w:link w:val="BalloonText"/>
    <w:uiPriority w:val="99"/>
    <w:semiHidden/>
    <w:qFormat/>
    <w:rsid w:val="007d2f69"/>
    <w:rPr>
      <w:rFonts w:ascii="Tahoma" w:hAnsi="Tahoma" w:eastAsia="Times New Roman" w:cs="Tahoma"/>
      <w:kern w:val="2"/>
      <w:sz w:val="16"/>
      <w:szCs w:val="16"/>
      <w:lang w:eastAsia="ru-RU"/>
    </w:rPr>
  </w:style>
  <w:style w:type="character" w:styleId="Style15" w:customStyle="1">
    <w:name w:val="Верхний колонтитул Знак"/>
    <w:basedOn w:val="DefaultParagraphFont"/>
    <w:uiPriority w:val="99"/>
    <w:qFormat/>
    <w:rsid w:val="001d6e76"/>
    <w:rPr>
      <w:rFonts w:ascii="Times New Roman" w:hAnsi="Times New Roman" w:eastAsia="Times New Roman" w:cs="Times New Roman"/>
      <w:kern w:val="2"/>
      <w:sz w:val="24"/>
      <w:lang w:eastAsia="ru-RU"/>
    </w:rPr>
  </w:style>
  <w:style w:type="character" w:styleId="Style16" w:customStyle="1">
    <w:name w:val="Нижний колонтитул Знак"/>
    <w:basedOn w:val="DefaultParagraphFont"/>
    <w:uiPriority w:val="99"/>
    <w:qFormat/>
    <w:rsid w:val="001d6e76"/>
    <w:rPr>
      <w:rFonts w:ascii="Times New Roman" w:hAnsi="Times New Roman" w:eastAsia="Times New Roman" w:cs="Times New Roman"/>
      <w:kern w:val="2"/>
      <w:sz w:val="24"/>
      <w:lang w:eastAsia="ru-RU"/>
    </w:rPr>
  </w:style>
  <w:style w:type="character" w:styleId="InternetLink1">
    <w:name w:val="Internet Link1"/>
    <w:qFormat/>
    <w:rPr>
      <w:color w:val="000080"/>
      <w:u w:val="single"/>
    </w:rPr>
  </w:style>
  <w:style w:type="character" w:styleId="Hyperlink">
    <w:name w:val="Hyperlink"/>
    <w:rPr>
      <w:color w:val="000080"/>
      <w:u w:val="single"/>
    </w:rPr>
  </w:style>
  <w:style w:type="paragraph" w:styleId="Style17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"/>
    </w:rPr>
  </w:style>
  <w:style w:type="paragraph" w:styleId="Style19" w:customStyle="1">
    <w:name w:val="Нормальный"/>
    <w:basedOn w:val="Normal"/>
    <w:qFormat/>
    <w:rsid w:val="00c347c2"/>
    <w:pPr>
      <w:widowControl/>
      <w:ind w:firstLine="720"/>
      <w:jc w:val="both"/>
    </w:pPr>
    <w:rPr/>
  </w:style>
  <w:style w:type="paragraph" w:styleId="s1" w:customStyle="1">
    <w:name w:val="s_1"/>
    <w:basedOn w:val="Normal"/>
    <w:qFormat/>
    <w:rsid w:val="00c347c2"/>
    <w:pPr>
      <w:widowControl/>
      <w:suppressAutoHyphens w:val="false"/>
      <w:overflowPunct w:val="true"/>
      <w:spacing w:before="100" w:after="100"/>
      <w:textAlignment w:val="auto"/>
    </w:pPr>
    <w:rPr>
      <w:kern w:val="0"/>
      <w:szCs w:val="24"/>
    </w:rPr>
  </w:style>
  <w:style w:type="paragraph" w:styleId="s16" w:customStyle="1">
    <w:name w:val="s_16"/>
    <w:basedOn w:val="Normal"/>
    <w:qFormat/>
    <w:rsid w:val="00c347c2"/>
    <w:pPr>
      <w:widowControl/>
      <w:suppressAutoHyphens w:val="false"/>
      <w:overflowPunct w:val="true"/>
      <w:spacing w:before="100" w:after="100"/>
      <w:textAlignment w:val="auto"/>
    </w:pPr>
    <w:rPr>
      <w:kern w:val="0"/>
      <w:szCs w:val="24"/>
    </w:rPr>
  </w:style>
  <w:style w:type="paragraph" w:styleId="NoSpacing">
    <w:name w:val="No Spacing"/>
    <w:qFormat/>
    <w:rsid w:val="001e3d60"/>
    <w:pPr>
      <w:widowControl w:val="false"/>
      <w:suppressAutoHyphens w:val="true"/>
      <w:overflowPunct w:val="false"/>
      <w:bidi w:val="0"/>
      <w:spacing w:lineRule="auto" w:line="240"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2"/>
      <w:sz w:val="24"/>
      <w:szCs w:val="22"/>
      <w:lang w:val="ru-RU" w:eastAsia="ru-RU" w:bidi="ar-SA"/>
    </w:rPr>
  </w:style>
  <w:style w:type="paragraph" w:styleId="BalloonText">
    <w:name w:val="Balloon Text"/>
    <w:basedOn w:val="Normal"/>
    <w:link w:val="Style14"/>
    <w:uiPriority w:val="99"/>
    <w:semiHidden/>
    <w:unhideWhenUsed/>
    <w:qFormat/>
    <w:rsid w:val="007d2f69"/>
    <w:pPr/>
    <w:rPr>
      <w:rFonts w:ascii="Tahoma" w:hAnsi="Tahoma" w:cs="Tahoma"/>
      <w:sz w:val="16"/>
      <w:szCs w:val="16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Style15"/>
    <w:uiPriority w:val="99"/>
    <w:unhideWhenUsed/>
    <w:rsid w:val="001d6e76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6"/>
    <w:uiPriority w:val="99"/>
    <w:unhideWhenUsed/>
    <w:rsid w:val="001d6e76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20">
    <w:name w:val="Содержимое таблицы"/>
    <w:basedOn w:val="Normal"/>
    <w:qFormat/>
    <w:pPr>
      <w:widowControl w:val="false"/>
      <w:suppressLineNumbers/>
    </w:pPr>
    <w:rPr/>
  </w:style>
  <w:style w:type="paragraph" w:styleId="Style21">
    <w:name w:val="Заголовок таблицы"/>
    <w:basedOn w:val="Style20"/>
    <w:qFormat/>
    <w:pPr>
      <w:suppressLineNumbers/>
      <w:jc w:val="center"/>
    </w:pPr>
    <w:rPr>
      <w:b/>
      <w:bCs/>
    </w:rPr>
  </w:style>
  <w:style w:type="numbering" w:styleId="Style22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1"/>
    <w:uiPriority w:val="59"/>
    <w:rsid w:val="00e9444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C69DB8-D05C-42C3-8EFB-4088B8338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Application>LibreOffice/24.2.5.2$Windows_X86_64 LibreOffice_project/bffef4ea93e59bebbeaf7f431bb02b1a39ee8a59</Application>
  <AppVersion>15.0000</AppVersion>
  <Pages>11</Pages>
  <Words>1622</Words>
  <Characters>12888</Characters>
  <CharactersWithSpaces>14561</CharactersWithSpaces>
  <Paragraphs>69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2025-08-25T11:53:00Z</dcterms:created>
  <dc:creator>Специалист</dc:creator>
  <dc:description/>
  <dc:language>ru-RU</dc:language>
  <cp:lastModifiedBy/>
  <cp:lastPrinted>2026-02-24T12:39:11Z</cp:lastPrinted>
  <dcterms:modified xsi:type="dcterms:W3CDTF">2026-02-24T12:39:30Z</dcterms:modified>
  <cp:revision>45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